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E3B34" w14:textId="0B85428C" w:rsidR="00850BA7" w:rsidRPr="00502372" w:rsidRDefault="00F421EA" w:rsidP="00F75CE9">
      <w:pPr>
        <w:jc w:val="center"/>
        <w:rPr>
          <w:rFonts w:cstheme="minorHAnsi"/>
          <w:b/>
          <w:sz w:val="24"/>
          <w:szCs w:val="24"/>
        </w:rPr>
      </w:pPr>
      <w:r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1B96FC" wp14:editId="41DF1D8F">
                <wp:simplePos x="0" y="0"/>
                <wp:positionH relativeFrom="page">
                  <wp:posOffset>958850</wp:posOffset>
                </wp:positionH>
                <wp:positionV relativeFrom="page">
                  <wp:posOffset>5099051</wp:posOffset>
                </wp:positionV>
                <wp:extent cx="5819775" cy="1346200"/>
                <wp:effectExtent l="19050" t="19050" r="28575" b="25400"/>
                <wp:wrapSquare wrapText="bothSides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462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7A6261" w14:textId="4093E839" w:rsidR="009F70D8" w:rsidRDefault="009F70D8" w:rsidP="00721CA7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What will the restrictio</w:t>
                            </w:r>
                            <w:r w:rsidR="0062587F">
                              <w:rPr>
                                <w:b/>
                                <w:bCs/>
                                <w:i/>
                                <w:iCs/>
                              </w:rPr>
                              <w:t>n mean</w:t>
                            </w:r>
                            <w:r w:rsidR="000676B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in practice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?</w:t>
                            </w:r>
                          </w:p>
                          <w:p w14:paraId="7746A97F" w14:textId="0EEC49D7" w:rsidR="009A2019" w:rsidRPr="00F421EA" w:rsidRDefault="001C4502" w:rsidP="00F421EA">
                            <w:pPr>
                              <w:spacing w:line="240" w:lineRule="auto"/>
                              <w:jc w:val="both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The proposed restriction </w:t>
                            </w:r>
                            <w:r w:rsidR="005A6B89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will prohibit the placing on the market </w:t>
                            </w:r>
                            <w:r w:rsid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or use of articles if</w:t>
                            </w:r>
                            <w:r w:rsidR="00F421EA"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formaldehyde released</w:t>
                            </w:r>
                            <w:r w:rsid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1EA"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from them exceeds a concentration of 0.124 mg/m</w:t>
                            </w:r>
                            <w:r w:rsidR="00F421EA" w:rsidRPr="00F421EA">
                              <w:rPr>
                                <w:bCs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F421EA"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in the air of a test</w:t>
                            </w:r>
                            <w:r w:rsid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21EA"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chamber used under the conditions prescribed in EN 717-1</w:t>
                            </w:r>
                            <w:r w:rsid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 Further information is </w:t>
                            </w:r>
                            <w:r w:rsidR="005A6B89"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available</w:t>
                            </w:r>
                            <w:r w:rsidRPr="00F421EA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F421EA" w:rsidRPr="00F421E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here</w:t>
                              </w:r>
                            </w:hyperlink>
                            <w:r w:rsidR="005A6B89" w:rsidRPr="00F421E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B96FC" id="Rounded Rectangle 3" o:spid="_x0000_s1026" style="position:absolute;left:0;text-align:left;margin-left:75.5pt;margin-top:401.5pt;width:458.2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" o:allowincell="f" fillcolor="#daeef3 [664]" strokecolor="#4f81bd [3204]" strokeweight="3pt">
                <v:textbox>
                  <w:txbxContent>
                    <w:p w14:paraId="0A7A6261" w14:textId="4093E839" w:rsidR="009F70D8" w:rsidRDefault="009F70D8" w:rsidP="00721CA7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What will the restrictio</w:t>
                      </w:r>
                      <w:r w:rsidR="0062587F">
                        <w:rPr>
                          <w:b/>
                          <w:bCs/>
                          <w:i/>
                          <w:iCs/>
                        </w:rPr>
                        <w:t>n mean</w:t>
                      </w:r>
                      <w:r w:rsidR="000676B5">
                        <w:rPr>
                          <w:b/>
                          <w:bCs/>
                          <w:i/>
                          <w:iCs/>
                        </w:rPr>
                        <w:t xml:space="preserve"> in practice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?</w:t>
                      </w:r>
                    </w:p>
                    <w:p w14:paraId="7746A97F" w14:textId="0EEC49D7" w:rsidR="009A2019" w:rsidRPr="00F421EA" w:rsidRDefault="001C4502" w:rsidP="00F421EA">
                      <w:pPr>
                        <w:spacing w:line="240" w:lineRule="auto"/>
                        <w:jc w:val="both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The proposed restriction </w:t>
                      </w:r>
                      <w:r w:rsidR="005A6B89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will prohibit the placing on the market </w:t>
                      </w:r>
                      <w:r w:rsidR="00F421EA">
                        <w:rPr>
                          <w:bCs/>
                          <w:iCs/>
                          <w:sz w:val="20"/>
                          <w:szCs w:val="20"/>
                        </w:rPr>
                        <w:t>or use of articles if</w:t>
                      </w:r>
                      <w:r w:rsidR="00F421EA" w:rsidRPr="00F421EA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formaldehyde released</w:t>
                      </w:r>
                      <w:r w:rsidR="00F421EA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421EA" w:rsidRPr="00F421EA">
                        <w:rPr>
                          <w:bCs/>
                          <w:iCs/>
                          <w:sz w:val="20"/>
                          <w:szCs w:val="20"/>
                        </w:rPr>
                        <w:t>from them exceeds a concentration of 0.124 mg/m</w:t>
                      </w:r>
                      <w:r w:rsidR="00F421EA" w:rsidRPr="00F421EA">
                        <w:rPr>
                          <w:bCs/>
                          <w:iCs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F421EA" w:rsidRPr="00F421EA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in the air of a test</w:t>
                      </w:r>
                      <w:r w:rsidR="00F421EA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F421EA" w:rsidRPr="00F421EA">
                        <w:rPr>
                          <w:bCs/>
                          <w:iCs/>
                          <w:sz w:val="20"/>
                          <w:szCs w:val="20"/>
                        </w:rPr>
                        <w:t>chamber used under the conditions prescribed in EN 717-1</w:t>
                      </w:r>
                      <w:r w:rsidR="00F421EA">
                        <w:rPr>
                          <w:bCs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 Further information is </w:t>
                      </w:r>
                      <w:r w:rsidR="005A6B89" w:rsidRPr="00F421EA">
                        <w:rPr>
                          <w:bCs/>
                          <w:iCs/>
                          <w:sz w:val="20"/>
                          <w:szCs w:val="20"/>
                        </w:rPr>
                        <w:t>available</w:t>
                      </w:r>
                      <w:r w:rsidRPr="00F421EA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F421EA" w:rsidRPr="00F421EA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here</w:t>
                        </w:r>
                      </w:hyperlink>
                      <w:r w:rsidR="005A6B89" w:rsidRPr="00F421EA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75CE9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A3BD1B" wp14:editId="422086C5">
                <wp:simplePos x="0" y="0"/>
                <wp:positionH relativeFrom="page">
                  <wp:posOffset>965200</wp:posOffset>
                </wp:positionH>
                <wp:positionV relativeFrom="page">
                  <wp:posOffset>2851150</wp:posOffset>
                </wp:positionV>
                <wp:extent cx="5819775" cy="1936750"/>
                <wp:effectExtent l="19050" t="19050" r="28575" b="25400"/>
                <wp:wrapSquare wrapText="bothSides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9367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39311E" w14:textId="77777777" w:rsidR="00A027D0" w:rsidRDefault="00F70E49" w:rsidP="00A027D0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</w:t>
                            </w:r>
                            <w:r>
                              <w:rPr>
                                <w:b/>
                                <w:i/>
                              </w:rPr>
                              <w:t>y is there a need for action?</w:t>
                            </w:r>
                          </w:p>
                          <w:p w14:paraId="64E6F04C" w14:textId="5DBC44E2" w:rsidR="00D07539" w:rsidRPr="00E325C4" w:rsidRDefault="00F75CE9" w:rsidP="00F75CE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75CE9">
                              <w:rPr>
                                <w:sz w:val="20"/>
                                <w:szCs w:val="20"/>
                              </w:rPr>
                              <w:t>Formaldehyde is a high production volume che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mical with a wide array of uses and a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t ambient temperature and atmospheric pressure, is a gas that is highly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irritating to the upper respiratory tract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the eyes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A 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major source of consumer exposure to formaldehyde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 xml:space="preserve">was identified in the use of formaldehyde-based resins, in </w:t>
                            </w:r>
                            <w:proofErr w:type="gramStart"/>
                            <w:r w:rsidRPr="00F75CE9">
                              <w:rPr>
                                <w:sz w:val="20"/>
                                <w:szCs w:val="20"/>
                              </w:rPr>
                              <w:t>particular</w:t>
                            </w:r>
                            <w:proofErr w:type="gramEnd"/>
                            <w:r w:rsidRPr="00F75CE9">
                              <w:rPr>
                                <w:sz w:val="20"/>
                                <w:szCs w:val="20"/>
                              </w:rPr>
                              <w:t xml:space="preserve"> UF resins, in wood-based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materials used in construction and finished articles (e.g. fur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niture and laminate flooring).   T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he adoption of an EU-wide emission limit for formaldehyde will prevent the risk of consumers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F75CE9">
                              <w:rPr>
                                <w:sz w:val="20"/>
                                <w:szCs w:val="20"/>
                              </w:rPr>
                              <w:t>being exposed</w:t>
                            </w:r>
                            <w:proofErr w:type="gramEnd"/>
                            <w:r w:rsidRPr="00F75CE9">
                              <w:rPr>
                                <w:sz w:val="20"/>
                                <w:szCs w:val="20"/>
                              </w:rPr>
                              <w:t xml:space="preserve"> to formaldehyde levels above the WHO guideline value from high formaldehyde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CE9">
                              <w:rPr>
                                <w:sz w:val="20"/>
                                <w:szCs w:val="20"/>
                              </w:rPr>
                              <w:t>emitting articles, including those 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mported from non-EU countries.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A3BD1B" id="Rounded Rectangle 2" o:spid="_x0000_s1027" style="position:absolute;left:0;text-align:left;margin-left:76pt;margin-top:224.5pt;width:458.25pt;height:15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" o:allowincell="f" fillcolor="#dbe5f1 [660]" strokecolor="#4f81bd [3204]" strokeweight="3pt">
                <v:textbox>
                  <w:txbxContent>
                    <w:p w14:paraId="1439311E" w14:textId="77777777" w:rsidR="00A027D0" w:rsidRDefault="00F70E49" w:rsidP="00A027D0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</w:t>
                      </w:r>
                      <w:r>
                        <w:rPr>
                          <w:b/>
                          <w:i/>
                        </w:rPr>
                        <w:t>y is there a need for action?</w:t>
                      </w:r>
                    </w:p>
                    <w:p w14:paraId="64E6F04C" w14:textId="5DBC44E2" w:rsidR="00D07539" w:rsidRPr="00E325C4" w:rsidRDefault="00F75CE9" w:rsidP="00F75CE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75CE9">
                        <w:rPr>
                          <w:sz w:val="20"/>
                          <w:szCs w:val="20"/>
                        </w:rPr>
                        <w:t>Formaldehyde is a high production volume che</w:t>
                      </w:r>
                      <w:r>
                        <w:rPr>
                          <w:sz w:val="20"/>
                          <w:szCs w:val="20"/>
                        </w:rPr>
                        <w:t>mical with a wide array of uses and a</w:t>
                      </w:r>
                      <w:r w:rsidRPr="00F75CE9">
                        <w:rPr>
                          <w:sz w:val="20"/>
                          <w:szCs w:val="20"/>
                        </w:rPr>
                        <w:t>t ambient temperature and atmospheric pressure, is a gas that is highly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CE9">
                        <w:rPr>
                          <w:sz w:val="20"/>
                          <w:szCs w:val="20"/>
                        </w:rPr>
                        <w:t>irritating to the upper respiratory tract</w:t>
                      </w:r>
                      <w:r>
                        <w:rPr>
                          <w:sz w:val="20"/>
                          <w:szCs w:val="20"/>
                        </w:rPr>
                        <w:t xml:space="preserve"> and the eyes</w:t>
                      </w:r>
                      <w:r w:rsidRPr="00F75CE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A </w:t>
                      </w:r>
                      <w:r w:rsidRPr="00F75CE9">
                        <w:rPr>
                          <w:sz w:val="20"/>
                          <w:szCs w:val="20"/>
                        </w:rPr>
                        <w:t>major source of consumer exposure to formaldehyde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CE9">
                        <w:rPr>
                          <w:sz w:val="20"/>
                          <w:szCs w:val="20"/>
                        </w:rPr>
                        <w:t xml:space="preserve">was identified in the use of formaldehyde-based resins, in </w:t>
                      </w:r>
                      <w:proofErr w:type="gramStart"/>
                      <w:r w:rsidRPr="00F75CE9">
                        <w:rPr>
                          <w:sz w:val="20"/>
                          <w:szCs w:val="20"/>
                        </w:rPr>
                        <w:t>particular</w:t>
                      </w:r>
                      <w:proofErr w:type="gramEnd"/>
                      <w:r w:rsidRPr="00F75CE9">
                        <w:rPr>
                          <w:sz w:val="20"/>
                          <w:szCs w:val="20"/>
                        </w:rPr>
                        <w:t xml:space="preserve"> UF resins, in wood-based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CE9">
                        <w:rPr>
                          <w:sz w:val="20"/>
                          <w:szCs w:val="20"/>
                        </w:rPr>
                        <w:t>materials used in construction and finished articles (e.g. fur</w:t>
                      </w:r>
                      <w:r>
                        <w:rPr>
                          <w:sz w:val="20"/>
                          <w:szCs w:val="20"/>
                        </w:rPr>
                        <w:t>niture and laminate flooring).   T</w:t>
                      </w:r>
                      <w:r w:rsidRPr="00F75CE9">
                        <w:rPr>
                          <w:sz w:val="20"/>
                          <w:szCs w:val="20"/>
                        </w:rPr>
                        <w:t>he adoption of an EU-wide emission limit for formaldehyde will prevent the risk of consumers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F75CE9">
                        <w:rPr>
                          <w:sz w:val="20"/>
                          <w:szCs w:val="20"/>
                        </w:rPr>
                        <w:t>being exposed</w:t>
                      </w:r>
                      <w:proofErr w:type="gramEnd"/>
                      <w:r w:rsidRPr="00F75CE9">
                        <w:rPr>
                          <w:sz w:val="20"/>
                          <w:szCs w:val="20"/>
                        </w:rPr>
                        <w:t xml:space="preserve"> to formaldehyde levels above the WHO guideline value from high formaldehyde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75CE9">
                        <w:rPr>
                          <w:sz w:val="20"/>
                          <w:szCs w:val="20"/>
                        </w:rPr>
                        <w:t>emitting articles, including those i</w:t>
                      </w:r>
                      <w:r>
                        <w:rPr>
                          <w:sz w:val="20"/>
                          <w:szCs w:val="20"/>
                        </w:rPr>
                        <w:t>mported from non-EU countries.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F75CE9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AEF255" wp14:editId="09E4BF17">
                <wp:simplePos x="0" y="0"/>
                <wp:positionH relativeFrom="margin">
                  <wp:align>left</wp:align>
                </wp:positionH>
                <wp:positionV relativeFrom="page">
                  <wp:posOffset>1416050</wp:posOffset>
                </wp:positionV>
                <wp:extent cx="5819775" cy="1320800"/>
                <wp:effectExtent l="19050" t="19050" r="28575" b="12700"/>
                <wp:wrapSquare wrapText="bothSides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208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99A04" w14:textId="77777777" w:rsidR="00F9767D" w:rsidRDefault="002D335E" w:rsidP="00F9767D">
                            <w:pPr>
                              <w:spacing w:line="240" w:lineRule="auto"/>
                              <w:rPr>
                                <w:b/>
                                <w:i/>
                              </w:rPr>
                            </w:pPr>
                            <w:r w:rsidRPr="007247C4">
                              <w:rPr>
                                <w:b/>
                                <w:i/>
                              </w:rPr>
                              <w:t>What is the proposal?</w:t>
                            </w:r>
                          </w:p>
                          <w:p w14:paraId="36EA364B" w14:textId="42E0A26A" w:rsidR="002D335E" w:rsidRDefault="00151FC8" w:rsidP="00F75CE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523EE8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A71A06" w:rsidRPr="00A71A06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E325C4">
                              <w:rPr>
                                <w:sz w:val="20"/>
                                <w:szCs w:val="20"/>
                              </w:rPr>
                              <w:t>uropean Chemicals Agency (ECHA)</w:t>
                            </w:r>
                            <w:r w:rsidR="00A71A06" w:rsidRPr="00A71A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502">
                              <w:rPr>
                                <w:sz w:val="20"/>
                                <w:szCs w:val="20"/>
                              </w:rPr>
                              <w:t>is proposing a restriction of</w:t>
                            </w:r>
                            <w:r w:rsidR="00A71A06" w:rsidRPr="00A71A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>formaldehyde and</w:t>
                            </w:r>
                            <w:r w:rsidR="00F75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>formaldehyde releasers in mixtures and articles for consumer use</w:t>
                            </w:r>
                            <w:r w:rsidR="00E325C4" w:rsidRPr="00E325C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E325C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>The proposal is to restrict the placing on the market or the use of all articles releasing</w:t>
                            </w:r>
                            <w:r w:rsidR="00F75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>formaldehyde at concentrations greater than or equal to 0.124 mg/m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 xml:space="preserve"> in the air of a test</w:t>
                            </w:r>
                            <w:r w:rsidR="00F75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CE9" w:rsidRPr="00F75CE9">
                              <w:rPr>
                                <w:sz w:val="20"/>
                                <w:szCs w:val="20"/>
                              </w:rPr>
                              <w:t>chamber used under the conditions prescribed in EN 717-1</w:t>
                            </w:r>
                            <w:r w:rsidR="00F75CE9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F9767D" w:rsidRPr="00502372"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="00F9767D" w:rsidRPr="00F75CE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E325C4" w:rsidRPr="00F75C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5CE9" w:rsidRPr="00F75CE9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ECHA website</w:t>
                              </w:r>
                            </w:hyperlink>
                            <w:r w:rsidR="00F9767D" w:rsidRPr="00E325C4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F9767D" w:rsidRPr="00502372">
                              <w:rPr>
                                <w:sz w:val="20"/>
                                <w:szCs w:val="20"/>
                              </w:rPr>
                              <w:t xml:space="preserve"> more</w:t>
                            </w:r>
                            <w:r w:rsidR="00F9767D" w:rsidRPr="00F9767D">
                              <w:rPr>
                                <w:sz w:val="20"/>
                                <w:szCs w:val="20"/>
                              </w:rPr>
                              <w:t xml:space="preserve">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EF255" id="Rounded Rectangle 1" o:spid="_x0000_s1028" style="position:absolute;left:0;text-align:left;margin-left:0;margin-top:111.5pt;width:458.25pt;height:10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" o:allowincell="f" fillcolor="#eaf1dd [662]" strokecolor="#4f81bd [3204]" strokeweight="3pt">
                <v:textbox>
                  <w:txbxContent>
                    <w:p w14:paraId="33599A04" w14:textId="77777777" w:rsidR="00F9767D" w:rsidRDefault="002D335E" w:rsidP="00F9767D">
                      <w:pPr>
                        <w:spacing w:line="240" w:lineRule="auto"/>
                        <w:rPr>
                          <w:b/>
                          <w:i/>
                        </w:rPr>
                      </w:pPr>
                      <w:r w:rsidRPr="007247C4">
                        <w:rPr>
                          <w:b/>
                          <w:i/>
                        </w:rPr>
                        <w:t>What is the proposal?</w:t>
                      </w:r>
                    </w:p>
                    <w:p w14:paraId="36EA364B" w14:textId="42E0A26A" w:rsidR="002D335E" w:rsidRDefault="00151FC8" w:rsidP="00F75CE9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523EE8">
                        <w:rPr>
                          <w:sz w:val="20"/>
                          <w:szCs w:val="20"/>
                        </w:rPr>
                        <w:t xml:space="preserve">he </w:t>
                      </w:r>
                      <w:r w:rsidR="00A71A06" w:rsidRPr="00A71A06">
                        <w:rPr>
                          <w:sz w:val="20"/>
                          <w:szCs w:val="20"/>
                        </w:rPr>
                        <w:t>E</w:t>
                      </w:r>
                      <w:r w:rsidR="00E325C4">
                        <w:rPr>
                          <w:sz w:val="20"/>
                          <w:szCs w:val="20"/>
                        </w:rPr>
                        <w:t>uropean Chemicals Agency (ECHA)</w:t>
                      </w:r>
                      <w:r w:rsidR="00A71A06" w:rsidRPr="00A71A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4502">
                        <w:rPr>
                          <w:sz w:val="20"/>
                          <w:szCs w:val="20"/>
                        </w:rPr>
                        <w:t>is proposing a restriction of</w:t>
                      </w:r>
                      <w:r w:rsidR="00A71A06" w:rsidRPr="00A71A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>formaldehyde and</w:t>
                      </w:r>
                      <w:r w:rsidR="00F75C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>formaldehyde releasers in mixtures and articles for consumer use</w:t>
                      </w:r>
                      <w:r w:rsidR="00E325C4" w:rsidRPr="00E325C4">
                        <w:rPr>
                          <w:sz w:val="20"/>
                          <w:szCs w:val="20"/>
                        </w:rPr>
                        <w:t>.</w:t>
                      </w:r>
                      <w:r w:rsidR="00E325C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>The proposal is to restrict the placing on the market or the use of all articles releasing</w:t>
                      </w:r>
                      <w:r w:rsidR="00F75C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>formaldehyde at concentrations greater than or equal to 0.124 mg/m</w:t>
                      </w:r>
                      <w:r w:rsidR="00F75CE9" w:rsidRPr="00F75CE9">
                        <w:rPr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 xml:space="preserve"> in the air of a test</w:t>
                      </w:r>
                      <w:r w:rsidR="00F75CE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5CE9" w:rsidRPr="00F75CE9">
                        <w:rPr>
                          <w:sz w:val="20"/>
                          <w:szCs w:val="20"/>
                        </w:rPr>
                        <w:t>chamber used under the conditions prescribed in EN 717-1</w:t>
                      </w:r>
                      <w:r w:rsidR="00F75CE9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F9767D" w:rsidRPr="00502372"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="00F9767D" w:rsidRPr="00F75CE9">
                        <w:rPr>
                          <w:sz w:val="20"/>
                          <w:szCs w:val="20"/>
                        </w:rPr>
                        <w:t>the</w:t>
                      </w:r>
                      <w:r w:rsidR="00E325C4" w:rsidRPr="00F75CE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F75CE9" w:rsidRPr="00F75CE9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ECHA website</w:t>
                        </w:r>
                      </w:hyperlink>
                      <w:r w:rsidR="00F9767D" w:rsidRPr="00E325C4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="00F9767D" w:rsidRPr="00502372">
                        <w:rPr>
                          <w:sz w:val="20"/>
                          <w:szCs w:val="20"/>
                        </w:rPr>
                        <w:t xml:space="preserve"> more</w:t>
                      </w:r>
                      <w:r w:rsidR="00F9767D" w:rsidRPr="00F9767D">
                        <w:rPr>
                          <w:sz w:val="20"/>
                          <w:szCs w:val="20"/>
                        </w:rPr>
                        <w:t xml:space="preserve"> details.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853A89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1023372" wp14:editId="5EC0684C">
                <wp:simplePos x="0" y="0"/>
                <wp:positionH relativeFrom="page">
                  <wp:posOffset>933450</wp:posOffset>
                </wp:positionH>
                <wp:positionV relativeFrom="page">
                  <wp:posOffset>6819265</wp:posOffset>
                </wp:positionV>
                <wp:extent cx="5848350" cy="1095375"/>
                <wp:effectExtent l="19050" t="19050" r="19050" b="28575"/>
                <wp:wrapSquare wrapText="bothSides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095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4FD785" w14:textId="18E6EF84" w:rsidR="00F70E49" w:rsidRDefault="00F70E49" w:rsidP="00721CA7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</w:t>
                            </w:r>
                            <w:r w:rsidR="00721C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ow can </w:t>
                            </w:r>
                            <w:r w:rsidR="0092371B">
                              <w:rPr>
                                <w:b/>
                                <w:bCs/>
                                <w:i/>
                                <w:iCs/>
                              </w:rPr>
                              <w:t>interested parties or the public</w:t>
                            </w:r>
                            <w:r w:rsidR="00721CA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have their say?</w:t>
                            </w:r>
                          </w:p>
                          <w:p w14:paraId="4188EB03" w14:textId="633A25F8" w:rsidR="00721CA7" w:rsidRPr="005A6B89" w:rsidRDefault="00F70E49" w:rsidP="00642024">
                            <w:pPr>
                              <w:spacing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53A89">
                              <w:rPr>
                                <w:sz w:val="20"/>
                                <w:szCs w:val="20"/>
                              </w:rPr>
                              <w:t>Interested p</w:t>
                            </w:r>
                            <w:r w:rsidR="00721CA7" w:rsidRPr="00853A89">
                              <w:rPr>
                                <w:sz w:val="20"/>
                                <w:szCs w:val="20"/>
                              </w:rPr>
                              <w:t xml:space="preserve">arties can submit comments to 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>the European Commission</w:t>
                            </w:r>
                            <w:r w:rsidR="00721CA7" w:rsidRPr="00853A89">
                              <w:rPr>
                                <w:sz w:val="20"/>
                                <w:szCs w:val="20"/>
                              </w:rPr>
                              <w:t xml:space="preserve"> during the public consultation until </w:t>
                            </w:r>
                            <w:proofErr w:type="gramStart"/>
                            <w:r w:rsidR="005A6B8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FF0E6C" w:rsidRPr="00FF0E6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FF0E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B89">
                              <w:rPr>
                                <w:sz w:val="20"/>
                                <w:szCs w:val="20"/>
                              </w:rPr>
                              <w:t>September</w:t>
                            </w:r>
                            <w:r w:rsidR="00FF0E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4F0C" w:rsidRPr="00853A89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1C450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0676B5" w:rsidRPr="0085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71B" w:rsidRPr="00853A89">
                              <w:rPr>
                                <w:sz w:val="20"/>
                                <w:szCs w:val="20"/>
                              </w:rPr>
                              <w:t>at the latest</w:t>
                            </w:r>
                            <w:r w:rsidR="006B1607" w:rsidRPr="00853A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A89" w:rsidRPr="00853A89">
                              <w:rPr>
                                <w:sz w:val="20"/>
                                <w:szCs w:val="20"/>
                              </w:rPr>
                              <w:t xml:space="preserve">using the online submissions form at </w:t>
                            </w:r>
                            <w:r w:rsidR="00F421EA" w:rsidRPr="00F421EA">
                              <w:rPr>
                                <w:sz w:val="20"/>
                                <w:szCs w:val="20"/>
                              </w:rPr>
                              <w:t xml:space="preserve">this </w:t>
                            </w:r>
                            <w:hyperlink r:id="rId15" w:history="1">
                              <w:r w:rsidR="00F421EA" w:rsidRPr="00F421EA">
                                <w:rPr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link</w:t>
                              </w:r>
                            </w:hyperlink>
                            <w:r w:rsidR="005A6B89" w:rsidRPr="00F421EA">
                              <w:rPr>
                                <w:sz w:val="20"/>
                                <w:szCs w:val="20"/>
                              </w:rPr>
                              <w:t>.  However</w:t>
                            </w:r>
                            <w:r w:rsidR="005A6B89">
                              <w:rPr>
                                <w:sz w:val="20"/>
                                <w:szCs w:val="20"/>
                              </w:rPr>
                              <w:t xml:space="preserve">, earlier comments by </w:t>
                            </w:r>
                            <w:proofErr w:type="gramStart"/>
                            <w:r w:rsidR="005A6B89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5A6B89" w:rsidRPr="005A6B8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5A6B89">
                              <w:rPr>
                                <w:sz w:val="20"/>
                                <w:szCs w:val="20"/>
                              </w:rPr>
                              <w:t xml:space="preserve"> May 2019 are preferable for consideration by ECHA’s assessing committees.</w:t>
                            </w:r>
                            <w:r w:rsidR="001C4502" w:rsidRPr="005A6B8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23372" id="Rounded Rectangle 4" o:spid="_x0000_s1029" style="position:absolute;left:0;text-align:left;margin-left:73.5pt;margin-top:536.95pt;width:460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" o:allowincell="f" fillcolor="#4bacc6 [3208]" strokecolor="#4f81bd [3204]" strokeweight="3pt">
                <v:textbox>
                  <w:txbxContent>
                    <w:p w14:paraId="424FD785" w14:textId="18E6EF84" w:rsidR="00F70E49" w:rsidRDefault="00F70E49" w:rsidP="00721CA7">
                      <w:pPr>
                        <w:spacing w:line="240" w:lineRule="auto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H</w:t>
                      </w:r>
                      <w:r w:rsidR="00721CA7">
                        <w:rPr>
                          <w:b/>
                          <w:bCs/>
                          <w:i/>
                          <w:iCs/>
                        </w:rPr>
                        <w:t xml:space="preserve">ow can </w:t>
                      </w:r>
                      <w:r w:rsidR="0092371B">
                        <w:rPr>
                          <w:b/>
                          <w:bCs/>
                          <w:i/>
                          <w:iCs/>
                        </w:rPr>
                        <w:t>interested parties or the public</w:t>
                      </w:r>
                      <w:r w:rsidR="00721CA7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have their say?</w:t>
                      </w:r>
                    </w:p>
                    <w:p w14:paraId="4188EB03" w14:textId="633A25F8" w:rsidR="00721CA7" w:rsidRPr="005A6B89" w:rsidRDefault="00F70E49" w:rsidP="00642024">
                      <w:pPr>
                        <w:spacing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53A89">
                        <w:rPr>
                          <w:sz w:val="20"/>
                          <w:szCs w:val="20"/>
                        </w:rPr>
                        <w:t>Interested p</w:t>
                      </w:r>
                      <w:r w:rsidR="00721CA7" w:rsidRPr="00853A89">
                        <w:rPr>
                          <w:sz w:val="20"/>
                          <w:szCs w:val="20"/>
                        </w:rPr>
                        <w:t xml:space="preserve">arties can submit comments to 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>the European Commission</w:t>
                      </w:r>
                      <w:r w:rsidR="00721CA7" w:rsidRPr="00853A89">
                        <w:rPr>
                          <w:sz w:val="20"/>
                          <w:szCs w:val="20"/>
                        </w:rPr>
                        <w:t xml:space="preserve"> during the public consultation until </w:t>
                      </w:r>
                      <w:proofErr w:type="gramStart"/>
                      <w:r w:rsidR="005A6B89">
                        <w:rPr>
                          <w:sz w:val="20"/>
                          <w:szCs w:val="20"/>
                        </w:rPr>
                        <w:t>20</w:t>
                      </w:r>
                      <w:r w:rsidR="00FF0E6C" w:rsidRPr="00FF0E6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FF0E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A6B89">
                        <w:rPr>
                          <w:sz w:val="20"/>
                          <w:szCs w:val="20"/>
                        </w:rPr>
                        <w:t>September</w:t>
                      </w:r>
                      <w:r w:rsidR="00FF0E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4F0C" w:rsidRPr="00853A89">
                        <w:rPr>
                          <w:sz w:val="20"/>
                          <w:szCs w:val="20"/>
                        </w:rPr>
                        <w:t>201</w:t>
                      </w:r>
                      <w:r w:rsidR="001C4502">
                        <w:rPr>
                          <w:sz w:val="20"/>
                          <w:szCs w:val="20"/>
                        </w:rPr>
                        <w:t>9</w:t>
                      </w:r>
                      <w:r w:rsidR="000676B5" w:rsidRPr="0085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371B" w:rsidRPr="00853A89">
                        <w:rPr>
                          <w:sz w:val="20"/>
                          <w:szCs w:val="20"/>
                        </w:rPr>
                        <w:t>at the latest</w:t>
                      </w:r>
                      <w:r w:rsidR="006B1607" w:rsidRPr="00853A8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3A89" w:rsidRPr="00853A89">
                        <w:rPr>
                          <w:sz w:val="20"/>
                          <w:szCs w:val="20"/>
                        </w:rPr>
                        <w:t xml:space="preserve">using the online submissions form at </w:t>
                      </w:r>
                      <w:r w:rsidR="00F421EA" w:rsidRPr="00F421EA">
                        <w:rPr>
                          <w:sz w:val="20"/>
                          <w:szCs w:val="20"/>
                        </w:rPr>
                        <w:t xml:space="preserve">this </w:t>
                      </w:r>
                      <w:hyperlink r:id="rId16" w:history="1">
                        <w:r w:rsidR="00F421EA" w:rsidRPr="00F421EA">
                          <w:rPr>
                            <w:color w:val="0000FF"/>
                            <w:sz w:val="20"/>
                            <w:szCs w:val="20"/>
                            <w:u w:val="single"/>
                          </w:rPr>
                          <w:t>link</w:t>
                        </w:r>
                      </w:hyperlink>
                      <w:r w:rsidR="005A6B89" w:rsidRPr="00F421EA">
                        <w:rPr>
                          <w:sz w:val="20"/>
                          <w:szCs w:val="20"/>
                        </w:rPr>
                        <w:t>.  However</w:t>
                      </w:r>
                      <w:r w:rsidR="005A6B89">
                        <w:rPr>
                          <w:sz w:val="20"/>
                          <w:szCs w:val="20"/>
                        </w:rPr>
                        <w:t xml:space="preserve">, earlier comments by </w:t>
                      </w:r>
                      <w:proofErr w:type="gramStart"/>
                      <w:r w:rsidR="005A6B89">
                        <w:rPr>
                          <w:sz w:val="20"/>
                          <w:szCs w:val="20"/>
                        </w:rPr>
                        <w:t>20</w:t>
                      </w:r>
                      <w:r w:rsidR="005A6B89" w:rsidRPr="005A6B8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proofErr w:type="gramEnd"/>
                      <w:r w:rsidR="005A6B89">
                        <w:rPr>
                          <w:sz w:val="20"/>
                          <w:szCs w:val="20"/>
                        </w:rPr>
                        <w:t xml:space="preserve"> May 2019 are preferable for consideration by ECHA’s assessing committees.</w:t>
                      </w:r>
                      <w:r w:rsidR="001C4502" w:rsidRPr="005A6B89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A74F0C" w:rsidRPr="00A027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D3F623" wp14:editId="3B181E61">
                <wp:simplePos x="0" y="0"/>
                <wp:positionH relativeFrom="column">
                  <wp:posOffset>47625</wp:posOffset>
                </wp:positionH>
                <wp:positionV relativeFrom="paragraph">
                  <wp:posOffset>7448550</wp:posOffset>
                </wp:positionV>
                <wp:extent cx="57245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8143" w14:textId="5D6ABECB" w:rsidR="00E334C4" w:rsidRPr="00721CA7" w:rsidRDefault="00E334C4" w:rsidP="0064202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The Chemicals Helpdesk of the Health &amp; Safety Authority can answer any questions you may have; please contact the team at </w:t>
                            </w:r>
                            <w:hyperlink r:id="rId17" w:history="1">
                              <w:r w:rsidR="00F9767D" w:rsidRPr="00E7492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chemicals@hsa.ie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21C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A6B89">
                              <w:rPr>
                                <w:sz w:val="20"/>
                                <w:szCs w:val="20"/>
                              </w:rPr>
                              <w:t>April</w:t>
                            </w:r>
                            <w:r w:rsidR="001C45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0E6C">
                              <w:rPr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5A6B89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F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3.75pt;margin-top:586.5pt;width:450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">
                <v:textbox>
                  <w:txbxContent>
                    <w:p w14:paraId="4FE58143" w14:textId="5D6ABECB" w:rsidR="00E334C4" w:rsidRPr="00721CA7" w:rsidRDefault="00E334C4" w:rsidP="0064202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721CA7">
                        <w:rPr>
                          <w:sz w:val="20"/>
                          <w:szCs w:val="20"/>
                        </w:rPr>
                        <w:t xml:space="preserve">The Chemicals Helpdesk of the Health &amp; Safety Authority can answer any questions you may have; please contact the team at </w:t>
                      </w:r>
                      <w:hyperlink r:id="rId18" w:history="1">
                        <w:r w:rsidR="00F9767D" w:rsidRPr="00E74927">
                          <w:rPr>
                            <w:rStyle w:val="Hyperlink"/>
                            <w:sz w:val="20"/>
                            <w:szCs w:val="20"/>
                          </w:rPr>
                          <w:t>chemicals@hsa.ie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21CA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A6B89">
                        <w:rPr>
                          <w:sz w:val="20"/>
                          <w:szCs w:val="20"/>
                        </w:rPr>
                        <w:t>April</w:t>
                      </w:r>
                      <w:r w:rsidR="001C450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0E6C">
                        <w:rPr>
                          <w:sz w:val="20"/>
                          <w:szCs w:val="20"/>
                        </w:rPr>
                        <w:t xml:space="preserve"> 201</w:t>
                      </w:r>
                      <w:r w:rsidR="005A6B89">
                        <w:rPr>
                          <w:sz w:val="20"/>
                          <w:szCs w:val="20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1D1E">
        <w:rPr>
          <w:b/>
          <w:noProof/>
          <w:lang w:val="en-GB" w:eastAsia="en-GB"/>
        </w:rPr>
        <w:t>Proposed R</w:t>
      </w:r>
      <w:r w:rsidR="00502372" w:rsidRPr="00502372">
        <w:rPr>
          <w:b/>
          <w:noProof/>
          <w:lang w:val="en-GB" w:eastAsia="en-GB"/>
        </w:rPr>
        <w:t xml:space="preserve">estriction of </w:t>
      </w:r>
      <w:r w:rsidR="00F75CE9" w:rsidRPr="00F75CE9">
        <w:rPr>
          <w:b/>
          <w:noProof/>
          <w:lang w:val="en-GB" w:eastAsia="en-GB"/>
        </w:rPr>
        <w:t>formaldehyde and</w:t>
      </w:r>
      <w:r w:rsidR="00F75CE9">
        <w:rPr>
          <w:b/>
          <w:noProof/>
          <w:lang w:val="en-GB" w:eastAsia="en-GB"/>
        </w:rPr>
        <w:t xml:space="preserve"> </w:t>
      </w:r>
      <w:r w:rsidR="00F75CE9" w:rsidRPr="00F75CE9">
        <w:rPr>
          <w:b/>
          <w:noProof/>
          <w:lang w:val="en-GB" w:eastAsia="en-GB"/>
        </w:rPr>
        <w:t>formaldehyde releasers in mixtures and articles for consumer use</w:t>
      </w:r>
      <w:r w:rsidR="009F1D1E" w:rsidRPr="009F1D1E">
        <w:rPr>
          <w:b/>
          <w:noProof/>
          <w:lang w:val="en-GB" w:eastAsia="en-GB"/>
        </w:rPr>
        <w:cr/>
      </w:r>
    </w:p>
    <w:sectPr w:rsidR="00850BA7" w:rsidRPr="0050237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15E1" w14:textId="77777777" w:rsidR="00CB6BF3" w:rsidRDefault="00CB6BF3" w:rsidP="00AA210E">
      <w:pPr>
        <w:spacing w:after="0" w:line="240" w:lineRule="auto"/>
      </w:pPr>
      <w:r>
        <w:separator/>
      </w:r>
    </w:p>
  </w:endnote>
  <w:endnote w:type="continuationSeparator" w:id="0">
    <w:p w14:paraId="493ED671" w14:textId="77777777" w:rsidR="00CB6BF3" w:rsidRDefault="00CB6BF3" w:rsidP="00A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E380" w14:textId="77777777" w:rsidR="00AA210E" w:rsidRDefault="00AA210E"/>
  <w:p w14:paraId="74383853" w14:textId="77777777" w:rsidR="00AA210E" w:rsidRDefault="00AA210E" w:rsidP="00AA210E">
    <w:pPr>
      <w:pStyle w:val="FooterOdd"/>
      <w:ind w:left="6480" w:firstLine="720"/>
      <w:jc w:val="left"/>
    </w:pPr>
    <w:r>
      <w:rPr>
        <w:noProof/>
        <w:lang w:val="en-GB" w:eastAsia="en-GB"/>
      </w:rPr>
      <w:drawing>
        <wp:inline distT="0" distB="0" distL="0" distR="0" wp14:anchorId="5A502C22" wp14:editId="50B9FF0C">
          <wp:extent cx="762000" cy="5429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D5CA28" w14:textId="77777777" w:rsidR="00AA210E" w:rsidRDefault="00AA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1F76" w14:textId="77777777" w:rsidR="00CB6BF3" w:rsidRDefault="00CB6BF3" w:rsidP="00AA210E">
      <w:pPr>
        <w:spacing w:after="0" w:line="240" w:lineRule="auto"/>
      </w:pPr>
      <w:r>
        <w:separator/>
      </w:r>
    </w:p>
  </w:footnote>
  <w:footnote w:type="continuationSeparator" w:id="0">
    <w:p w14:paraId="4F4F0755" w14:textId="77777777" w:rsidR="00CB6BF3" w:rsidRDefault="00CB6BF3" w:rsidP="00AA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C4"/>
    <w:rsid w:val="000676B5"/>
    <w:rsid w:val="00101146"/>
    <w:rsid w:val="00151FC8"/>
    <w:rsid w:val="001569C1"/>
    <w:rsid w:val="001C4502"/>
    <w:rsid w:val="00216F99"/>
    <w:rsid w:val="002D335E"/>
    <w:rsid w:val="002E5CC4"/>
    <w:rsid w:val="002F3245"/>
    <w:rsid w:val="00301D66"/>
    <w:rsid w:val="00343681"/>
    <w:rsid w:val="00395B69"/>
    <w:rsid w:val="004670DE"/>
    <w:rsid w:val="00482C77"/>
    <w:rsid w:val="00495FE4"/>
    <w:rsid w:val="00502372"/>
    <w:rsid w:val="0051384E"/>
    <w:rsid w:val="00523EE8"/>
    <w:rsid w:val="0052499E"/>
    <w:rsid w:val="005A6B89"/>
    <w:rsid w:val="00607E11"/>
    <w:rsid w:val="0062587F"/>
    <w:rsid w:val="00625ED4"/>
    <w:rsid w:val="00642024"/>
    <w:rsid w:val="006A72AC"/>
    <w:rsid w:val="006B1607"/>
    <w:rsid w:val="00721CA7"/>
    <w:rsid w:val="007247C4"/>
    <w:rsid w:val="00803D4C"/>
    <w:rsid w:val="00850BA7"/>
    <w:rsid w:val="00853A89"/>
    <w:rsid w:val="0092371B"/>
    <w:rsid w:val="00965DD5"/>
    <w:rsid w:val="009A2019"/>
    <w:rsid w:val="009E43D5"/>
    <w:rsid w:val="009F1D1E"/>
    <w:rsid w:val="009F70D8"/>
    <w:rsid w:val="00A027D0"/>
    <w:rsid w:val="00A37C4A"/>
    <w:rsid w:val="00A540C7"/>
    <w:rsid w:val="00A71A06"/>
    <w:rsid w:val="00A74F0C"/>
    <w:rsid w:val="00AA210E"/>
    <w:rsid w:val="00AA7AC6"/>
    <w:rsid w:val="00B0174C"/>
    <w:rsid w:val="00B61F35"/>
    <w:rsid w:val="00B945C8"/>
    <w:rsid w:val="00BA5A8E"/>
    <w:rsid w:val="00BE172B"/>
    <w:rsid w:val="00C53671"/>
    <w:rsid w:val="00CB6BF3"/>
    <w:rsid w:val="00D07539"/>
    <w:rsid w:val="00D77B32"/>
    <w:rsid w:val="00D87B41"/>
    <w:rsid w:val="00E325C4"/>
    <w:rsid w:val="00E334C4"/>
    <w:rsid w:val="00E3472B"/>
    <w:rsid w:val="00EA357B"/>
    <w:rsid w:val="00F12574"/>
    <w:rsid w:val="00F22E71"/>
    <w:rsid w:val="00F31572"/>
    <w:rsid w:val="00F421EA"/>
    <w:rsid w:val="00F60E02"/>
    <w:rsid w:val="00F70E49"/>
    <w:rsid w:val="00F75CE9"/>
    <w:rsid w:val="00F9767D"/>
    <w:rsid w:val="00FB0022"/>
    <w:rsid w:val="00FC0581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9AA3"/>
  <w15:docId w15:val="{4479D209-43C0-4498-A135-68B8B0C9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4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F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C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0E"/>
  </w:style>
  <w:style w:type="paragraph" w:styleId="Footer">
    <w:name w:val="footer"/>
    <w:basedOn w:val="Normal"/>
    <w:link w:val="FooterChar"/>
    <w:uiPriority w:val="99"/>
    <w:unhideWhenUsed/>
    <w:rsid w:val="00AA2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0E"/>
  </w:style>
  <w:style w:type="paragraph" w:customStyle="1" w:styleId="FooterOdd">
    <w:name w:val="Footer Odd"/>
    <w:basedOn w:val="Normal"/>
    <w:qFormat/>
    <w:rsid w:val="00AA210E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ha.europa.eu/documents/10162/019ab915-c3a6-3441-00eb-69e970c1c315" TargetMode="External"/><Relationship Id="rId18" Type="http://schemas.openxmlformats.org/officeDocument/2006/relationships/hyperlink" Target="mailto:chemicals@hsa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ha.europa.eu/documents/10162/03be844a-0960-990b-8264-1ac466bf6c90" TargetMode="External"/><Relationship Id="rId17" Type="http://schemas.openxmlformats.org/officeDocument/2006/relationships/hyperlink" Target="mailto:chemicals@hsa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ha.europa.eu/restrictions-under-consideration/-/substance-rev/22919/te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documents/10162/03be844a-0960-990b-8264-1ac466bf6c90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cha.europa.eu/restrictions-under-consideration/-/substance-rev/22919/ter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ha.europa.eu/documents/10162/019ab915-c3a6-3441-00eb-69e970c1c3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A Document" ma:contentTypeID="0x010100F1BA95422BE1A64DA19DE90A58AEB602004B6EAB0C93FC264D820CB35826B33374" ma:contentTypeVersion="48" ma:contentTypeDescription="HSA Document - base content type all document in ShareFlow must inherit from." ma:contentTypeScope="" ma:versionID="6aa13bf78270901374b47de44b42b47f">
  <xsd:schema xmlns:xsd="http://www.w3.org/2001/XMLSchema" xmlns:xs="http://www.w3.org/2001/XMLSchema" xmlns:p="http://schemas.microsoft.com/office/2006/metadata/properties" xmlns:ns1="http://schemas.microsoft.com/sharepoint/v3" xmlns:ns2="f2722de8-a3c4-44f7-809c-5aae864989b7" targetNamespace="http://schemas.microsoft.com/office/2006/metadata/properties" ma:root="true" ma:fieldsID="7f8c6660cd39b91ae964049d22d56b4a" ns1:_="" ns2:_="">
    <xsd:import namespace="http://schemas.microsoft.com/sharepoint/v3"/>
    <xsd:import namespace="f2722de8-a3c4-44f7-809c-5aae864989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0439d673390432c8f4760c5a455ac93" minOccurs="0"/>
                <xsd:element ref="ns2:TaxCatchAll" minOccurs="0"/>
                <xsd:element ref="ns2:TaxCatchAllLabel" minOccurs="0"/>
                <xsd:element ref="ns2:n0931430ca494154b9c352ba38783a91" minOccurs="0"/>
                <xsd:element ref="ns2:j3dcd20625fb4e509c8810f6c12f130a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0" nillable="true" ma:displayName="Scheduling End Date" ma:internalName="PublishingExpirationDate">
      <xsd:simpleType>
        <xsd:restriction base="dms:Unknown"/>
      </xsd:simpleType>
    </xsd:element>
    <xsd:element name="PublishingStartDate" ma:index="21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22de8-a3c4-44f7-809c-5aae864989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0439d673390432c8f4760c5a455ac93" ma:index="11" ma:taxonomy="true" ma:internalName="l0439d673390432c8f4760c5a455ac93" ma:taxonomyFieldName="Classification_x0020_Scheme" ma:displayName="Classification Scheme" ma:indexed="true" ma:default="" ma:fieldId="{50439d67-3390-432c-8f47-60c5a455ac93}" ma:sspId="1d7cc777-1957-431e-8bcf-ecabe01d98d4" ma:termSetId="9b95482a-f11c-471e-9c32-a86f81c894e6" ma:anchorId="846e7606-7121-45b4-95ae-75b46f0a237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674565b-251d-49f1-bba0-58784c551697}" ma:internalName="TaxCatchAll" ma:showField="CatchAllData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674565b-251d-49f1-bba0-58784c551697}" ma:internalName="TaxCatchAllLabel" ma:readOnly="true" ma:showField="CatchAllDataLabel" ma:web="f2722de8-a3c4-44f7-809c-5aae86498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931430ca494154b9c352ba38783a91" ma:index="16" ma:taxonomy="true" ma:internalName="n0931430ca494154b9c352ba38783a91" ma:taxonomyFieldName="Record_x0020_Type" ma:displayName="Record Type" ma:indexed="true" ma:default="" ma:fieldId="{70931430-ca49-4154-b9c3-52ba38783a91}" ma:sspId="1d7cc777-1957-431e-8bcf-ecabe01d98d4" ma:termSetId="09d66c77-7bd2-4ff3-b4ba-fcee43436d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dcd20625fb4e509c8810f6c12f130a" ma:index="18" ma:taxonomy="true" ma:internalName="j3dcd20625fb4e509c8810f6c12f130a" ma:taxonomyFieldName="Year" ma:displayName="Year" ma:indexed="true" ma:readOnly="false" ma:default="1977;#2019|f7018c91-fb87-42d2-b7af-6a77f0c46e3b" ma:fieldId="{33dcd206-25fb-4e50-9c88-10f6c12f130a}" ma:sspId="1d7cc777-1957-431e-8bcf-ecabe01d98d4" ma:termSetId="2cffe675-3845-4e8d-9e8d-ef5ead1e2f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722de8-a3c4-44f7-809c-5aae864989b7">
      <Value>1977</Value>
      <Value>60</Value>
      <Value>1254</Value>
    </TaxCatchAll>
    <l0439d673390432c8f4760c5a455ac93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Restriction related material</TermName>
          <TermId xmlns="http://schemas.microsoft.com/office/infopath/2007/PartnerControls">f40cd99e-3a59-4ad7-8699-f990ae374ea8</TermId>
        </TermInfo>
      </Terms>
    </l0439d673390432c8f4760c5a455ac93>
    <n0931430ca494154b9c352ba38783a91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Briefing Material (brf)</TermName>
          <TermId xmlns="http://schemas.microsoft.com/office/infopath/2007/PartnerControls">eb5f7cb7-ceed-458e-a94f-e32ae120bca4</TermId>
        </TermInfo>
      </Terms>
    </n0931430ca494154b9c352ba38783a91>
    <PublishingExpirationDate xmlns="http://schemas.microsoft.com/sharepoint/v3" xsi:nil="true"/>
    <PublishingStartDate xmlns="http://schemas.microsoft.com/sharepoint/v3" xsi:nil="true"/>
    <j3dcd20625fb4e509c8810f6c12f130a xmlns="f2722de8-a3c4-44f7-809c-5aae864989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f7018c91-fb87-42d2-b7af-6a77f0c46e3b</TermId>
        </TermInfo>
      </Terms>
    </j3dcd20625fb4e509c8810f6c12f130a>
    <_dlc_DocId xmlns="f2722de8-a3c4-44f7-809c-5aae864989b7">RVSECDK7SQEP-105-35865</_dlc_DocId>
    <_dlc_DocIdUrl xmlns="f2722de8-a3c4-44f7-809c-5aae864989b7">
      <Url>http://shareflow/sites/Tech/reach/_layouts/DocIdRedir.aspx?ID=RVSECDK7SQEP-105-35865</Url>
      <Description>RVSECDK7SQEP-105-35865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73B344-D5E8-499A-BCCB-D8C4A28B2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722de8-a3c4-44f7-809c-5aae86498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47216-DBB8-45D7-8B74-703BFA32AE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071B184-B269-44FB-AA05-F9C4EF6656CB}">
  <ds:schemaRefs>
    <ds:schemaRef ds:uri="http://schemas.microsoft.com/office/2006/metadata/properties"/>
    <ds:schemaRef ds:uri="http://schemas.microsoft.com/office/infopath/2007/PartnerControls"/>
    <ds:schemaRef ds:uri="f2722de8-a3c4-44f7-809c-5aae864989b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30CEB9-F66F-4098-9229-F6F978F3C3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B56BE2-98D4-4AE3-8531-B8891F5F64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NMP background document public consult.docx</vt:lpstr>
    </vt:vector>
  </TitlesOfParts>
  <Company>HSA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NMP background document public consult.docx</dc:title>
  <dc:creator>Kevin Buckley</dc:creator>
  <cp:lastModifiedBy>Kevin Buckley</cp:lastModifiedBy>
  <cp:revision>2</cp:revision>
  <dcterms:created xsi:type="dcterms:W3CDTF">2019-04-04T16:27:00Z</dcterms:created>
  <dcterms:modified xsi:type="dcterms:W3CDTF">2019-04-04T16:27:00Z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0x010100F1BA95422BE1A64DA19DE90A58AEB602004B6EAB0C93FC264D820CB35826B33374</vt:lpwstr>
  </property>
  <property fmtid="{D5CDD505-2E9C-101B-9397-08002B2CF9AE}" pid="3" name="Year">
    <vt:lpwstr>1977</vt:lpwstr>
  </property>
  <property fmtid="{D5CDD505-2E9C-101B-9397-08002B2CF9AE}" pid="4" name="Classification_x0020_Scheme">
    <vt:lpwstr>2337;#Restriction Related Tasks|87edc601-eff8-411b-bd27-c2b08b43595f</vt:lpwstr>
  </property>
  <property fmtid="{D5CDD505-2E9C-101B-9397-08002B2CF9AE}" pid="5" name="Record_x0020_Type">
    <vt:lpwstr>56;#Paper (ppr)|3b3b72c5-b0b4-4de9-9540-fca17b0c7e96</vt:lpwstr>
  </property>
  <property fmtid="{D5CDD505-2E9C-101B-9397-08002B2CF9AE}" pid="6" name="Classification Scheme">
    <vt:lpwstr>1254</vt:lpwstr>
  </property>
  <property fmtid="{D5CDD505-2E9C-101B-9397-08002B2CF9AE}" pid="7" name="Record Type">
    <vt:lpwstr>60</vt:lpwstr>
  </property>
  <property fmtid="{D5CDD505-2E9C-101B-9397-08002B2CF9AE}" pid="8" name="_dlc_DocIdItemGuid">
    <vt:lpwstr>1353af8f-949e-4666-8afe-40464ce0c458</vt:lpwstr>
  </property>
  <property fmtid="{D5CDD505-2E9C-101B-9397-08002B2CF9AE}" pid="9" name="Order">
    <vt:r8>3462100</vt:r8>
  </property>
  <property fmtid="{D5CDD505-2E9C-101B-9397-08002B2CF9AE}" pid="10" name="Title">
    <vt:lpwstr>NMP background document public consult.docx</vt:lpwstr>
  </property>
  <property fmtid="{D5CDD505-2E9C-101B-9397-08002B2CF9AE}" pid="11" name="TaxCatchAll">
    <vt:lpwstr/>
  </property>
  <property fmtid="{D5CDD505-2E9C-101B-9397-08002B2CF9AE}" pid="12" name="l0439d673390432c8f4760c5a455ac93">
    <vt:lpwstr>Restriction related material|f40cd99e-3a59-4ad7-8699-f990ae374ea8</vt:lpwstr>
  </property>
  <property fmtid="{D5CDD505-2E9C-101B-9397-08002B2CF9AE}" pid="13" name="Date1">
    <vt:filetime>2015-11-20T00:00:00Z</vt:filetime>
  </property>
  <property fmtid="{D5CDD505-2E9C-101B-9397-08002B2CF9AE}" pid="14" name="_Author">
    <vt:lpwstr>Kevin Buckley</vt:lpwstr>
  </property>
  <property fmtid="{D5CDD505-2E9C-101B-9397-08002B2CF9AE}" pid="15" name="n0931430ca494154b9c352ba38783a91">
    <vt:lpwstr>Briefing Material (brf)|eb5f7cb7-ceed-458e-a94f-e32ae120bca4</vt:lpwstr>
  </property>
  <property fmtid="{D5CDD505-2E9C-101B-9397-08002B2CF9AE}" pid="16" name="j3dcd20625fb4e509c8810f6c12f130a">
    <vt:lpwstr>2019|f7018c91-fb87-42d2-b7af-6a77f0c46e3b</vt:lpwstr>
  </property>
  <property fmtid="{D5CDD505-2E9C-101B-9397-08002B2CF9AE}" pid="17" name="PublishingExpirationDate">
    <vt:lpwstr/>
  </property>
  <property fmtid="{D5CDD505-2E9C-101B-9397-08002B2CF9AE}" pid="18" name="PublishingStartDate">
    <vt:lpwstr/>
  </property>
  <property fmtid="{D5CDD505-2E9C-101B-9397-08002B2CF9AE}" pid="19" name="mvSensitivity">
    <vt:lpwstr/>
  </property>
  <property fmtid="{D5CDD505-2E9C-101B-9397-08002B2CF9AE}" pid="20" name="URL">
    <vt:lpwstr/>
  </property>
  <property fmtid="{D5CDD505-2E9C-101B-9397-08002B2CF9AE}" pid="21" name="Employee Name">
    <vt:lpwstr/>
  </property>
  <property fmtid="{D5CDD505-2E9C-101B-9397-08002B2CF9AE}" pid="22" name="Nature">
    <vt:lpwstr/>
  </property>
  <property fmtid="{D5CDD505-2E9C-101B-9397-08002B2CF9AE}" pid="23" name="Requested By">
    <vt:lpwstr/>
  </property>
  <property fmtid="{D5CDD505-2E9C-101B-9397-08002B2CF9AE}" pid="24" name="xd_Signature">
    <vt:bool>false</vt:bool>
  </property>
  <property fmtid="{D5CDD505-2E9C-101B-9397-08002B2CF9AE}" pid="25" name="mvFrom">
    <vt:lpwstr/>
  </property>
  <property fmtid="{D5CDD505-2E9C-101B-9397-08002B2CF9AE}" pid="26" name="xd_ProgID">
    <vt:lpwstr/>
  </property>
  <property fmtid="{D5CDD505-2E9C-101B-9397-08002B2CF9AE}" pid="27" name="Location">
    <vt:lpwstr/>
  </property>
  <property fmtid="{D5CDD505-2E9C-101B-9397-08002B2CF9AE}" pid="28" name="mvBCC">
    <vt:lpwstr/>
  </property>
  <property fmtid="{D5CDD505-2E9C-101B-9397-08002B2CF9AE}" pid="29" name="Company">
    <vt:lpwstr/>
  </property>
  <property fmtid="{D5CDD505-2E9C-101B-9397-08002B2CF9AE}" pid="30" name="mvAttach Count">
    <vt:lpwstr/>
  </property>
  <property fmtid="{D5CDD505-2E9C-101B-9397-08002B2CF9AE}" pid="31" name="mvCC">
    <vt:lpwstr/>
  </property>
  <property fmtid="{D5CDD505-2E9C-101B-9397-08002B2CF9AE}" pid="32" name="mvImportance">
    <vt:lpwstr/>
  </property>
  <property fmtid="{D5CDD505-2E9C-101B-9397-08002B2CF9AE}" pid="33" name="TemplateUrl">
    <vt:lpwstr/>
  </property>
  <property fmtid="{D5CDD505-2E9C-101B-9397-08002B2CF9AE}" pid="34" name="mvTo">
    <vt:lpwstr/>
  </property>
  <property fmtid="{D5CDD505-2E9C-101B-9397-08002B2CF9AE}" pid="35" name="mvConversationTopic">
    <vt:lpwstr/>
  </property>
  <property fmtid="{D5CDD505-2E9C-101B-9397-08002B2CF9AE}" pid="36" name="mvMessageID">
    <vt:lpwstr/>
  </property>
  <property fmtid="{D5CDD505-2E9C-101B-9397-08002B2CF9AE}" pid="37" name="mvOriginal Author">
    <vt:lpwstr/>
  </property>
  <property fmtid="{D5CDD505-2E9C-101B-9397-08002B2CF9AE}" pid="38" name="mvOriginal Producer">
    <vt:lpwstr/>
  </property>
</Properties>
</file>